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5BB3" w14:textId="19202C39" w:rsidR="00FC0EDA" w:rsidRDefault="00FC0EDA" w:rsidP="00FC0EDA">
      <w:pPr>
        <w:spacing w:after="120"/>
        <w:jc w:val="center"/>
        <w:rPr>
          <w:b/>
          <w:bCs/>
          <w:sz w:val="28"/>
          <w:szCs w:val="28"/>
        </w:rPr>
      </w:pPr>
      <w:r w:rsidRPr="00FC0EDA">
        <w:rPr>
          <w:b/>
          <w:bCs/>
          <w:noProof/>
          <w:sz w:val="28"/>
          <w:szCs w:val="28"/>
        </w:rPr>
        <w:drawing>
          <wp:inline distT="0" distB="0" distL="0" distR="0" wp14:anchorId="12EF5289" wp14:editId="024D36AA">
            <wp:extent cx="1079500" cy="1079500"/>
            <wp:effectExtent l="0" t="0" r="6350" b="6350"/>
            <wp:docPr id="8496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14:paraId="1C842B2A" w14:textId="3E2313B8" w:rsidR="00965A45" w:rsidRDefault="00CE6093">
      <w:pPr>
        <w:spacing w:after="120"/>
        <w:jc w:val="center"/>
      </w:pPr>
      <w:r>
        <w:rPr>
          <w:b/>
          <w:bCs/>
          <w:sz w:val="28"/>
          <w:szCs w:val="28"/>
        </w:rPr>
        <w:t>NeuroethicsNow.org</w:t>
      </w:r>
    </w:p>
    <w:p w14:paraId="1578ADC5" w14:textId="77777777" w:rsidR="00965A45" w:rsidRDefault="00CE6093">
      <w:pPr>
        <w:spacing w:after="120"/>
        <w:jc w:val="center"/>
      </w:pPr>
      <w:r>
        <w:rPr>
          <w:sz w:val="20"/>
          <w:szCs w:val="20"/>
        </w:rPr>
        <w:t>An Independent Coalition for Cognitive Liberty and Mental Privacy</w:t>
      </w:r>
    </w:p>
    <w:p w14:paraId="51AF2B4B" w14:textId="77777777" w:rsidR="00965A45" w:rsidRDefault="00965A45">
      <w:pPr>
        <w:pBdr>
          <w:bottom w:val="single" w:sz="8" w:space="6" w:color="333333"/>
        </w:pBdr>
        <w:spacing w:after="240"/>
      </w:pPr>
    </w:p>
    <w:p w14:paraId="481CB616" w14:textId="4DAC80B5" w:rsidR="00965A45" w:rsidRDefault="00573249">
      <w:pPr>
        <w:spacing w:after="180" w:line="276" w:lineRule="auto"/>
      </w:pPr>
      <w:r>
        <w:t>May 18</w:t>
      </w:r>
      <w:r w:rsidR="00CE6093">
        <w:t>, 2026</w:t>
      </w:r>
    </w:p>
    <w:p w14:paraId="10823BAB" w14:textId="77777777" w:rsidR="00965A45" w:rsidRDefault="00965A45">
      <w:pPr>
        <w:spacing w:after="120"/>
      </w:pPr>
    </w:p>
    <w:p w14:paraId="6F37C225" w14:textId="77777777" w:rsidR="00965A45" w:rsidRDefault="00CE6093">
      <w:pPr>
        <w:spacing w:after="180" w:line="276" w:lineRule="auto"/>
      </w:pPr>
      <w:r>
        <w:rPr>
          <w:b/>
          <w:bCs/>
        </w:rPr>
        <w:t>The Honorable Aaron Michlewitz</w:t>
      </w:r>
    </w:p>
    <w:p w14:paraId="491FFA08" w14:textId="77777777" w:rsidR="00965A45" w:rsidRDefault="00CE6093">
      <w:pPr>
        <w:spacing w:after="180" w:line="276" w:lineRule="auto"/>
      </w:pPr>
      <w:r>
        <w:t>Chair, House Committee on Ways and Means</w:t>
      </w:r>
    </w:p>
    <w:p w14:paraId="6AC7D0A8" w14:textId="77777777" w:rsidR="00965A45" w:rsidRDefault="00CE6093">
      <w:pPr>
        <w:spacing w:after="180" w:line="276" w:lineRule="auto"/>
      </w:pPr>
      <w:r>
        <w:t>Massachusetts House of Representatives</w:t>
      </w:r>
    </w:p>
    <w:p w14:paraId="0E9CAF60" w14:textId="77777777" w:rsidR="00965A45" w:rsidRDefault="00CE6093">
      <w:pPr>
        <w:spacing w:after="180" w:line="276" w:lineRule="auto"/>
      </w:pPr>
      <w:r>
        <w:t>State House, Room 243</w:t>
      </w:r>
    </w:p>
    <w:p w14:paraId="2C00B08C" w14:textId="77777777" w:rsidR="00965A45" w:rsidRDefault="00CE6093">
      <w:pPr>
        <w:spacing w:after="180" w:line="276" w:lineRule="auto"/>
      </w:pPr>
      <w:r>
        <w:t>Boston, MA 02133</w:t>
      </w:r>
    </w:p>
    <w:p w14:paraId="3181A6F4" w14:textId="77777777" w:rsidR="00965A45" w:rsidRDefault="00965A45">
      <w:pPr>
        <w:spacing w:after="120"/>
      </w:pPr>
    </w:p>
    <w:p w14:paraId="55EEAC0A" w14:textId="1D0556C9" w:rsidR="00965A45" w:rsidRDefault="00CE6093">
      <w:pPr>
        <w:spacing w:after="180" w:line="276" w:lineRule="auto"/>
      </w:pPr>
      <w:r>
        <w:t xml:space="preserve">Cc: </w:t>
      </w:r>
      <w:r>
        <w:tab/>
        <w:t>The Honorable Ronald Mariano, Speaker of the House</w:t>
      </w:r>
    </w:p>
    <w:p w14:paraId="0A37CE46" w14:textId="13C14E23" w:rsidR="009E1245" w:rsidRDefault="009E1245" w:rsidP="009E1245">
      <w:pPr>
        <w:spacing w:after="180" w:line="276" w:lineRule="auto"/>
        <w:ind w:firstLine="720"/>
      </w:pPr>
      <w:r>
        <w:t xml:space="preserve">The Honorable Michael Moran, State Representative </w:t>
      </w:r>
    </w:p>
    <w:p w14:paraId="404AEDD3" w14:textId="5DAC2396" w:rsidR="00965A45" w:rsidRDefault="009E1245">
      <w:pPr>
        <w:spacing w:after="180" w:line="276" w:lineRule="auto"/>
      </w:pPr>
      <w:r>
        <w:tab/>
        <w:t>The Honorable Tricia Farley-Bouvier, Lead Sponsor, H.4746</w:t>
      </w:r>
    </w:p>
    <w:p w14:paraId="31DBEC58" w14:textId="77777777" w:rsidR="00965A45" w:rsidRDefault="00965A45">
      <w:pPr>
        <w:spacing w:after="120"/>
      </w:pPr>
    </w:p>
    <w:p w14:paraId="5D06C0DC" w14:textId="77777777" w:rsidR="00965A45" w:rsidRDefault="00CE6093">
      <w:pPr>
        <w:spacing w:after="180" w:line="276" w:lineRule="auto"/>
      </w:pPr>
      <w:r>
        <w:rPr>
          <w:b/>
          <w:bCs/>
        </w:rPr>
        <w:t>Re: Support for H.4746 — The Massachusetts Consumer Data Privacy Act, with Emphasis on Neural Data Protections</w:t>
      </w:r>
    </w:p>
    <w:p w14:paraId="6721B068" w14:textId="77777777" w:rsidR="00965A45" w:rsidRDefault="00965A45">
      <w:pPr>
        <w:spacing w:after="120"/>
      </w:pPr>
    </w:p>
    <w:p w14:paraId="1279629F" w14:textId="77777777" w:rsidR="00965A45" w:rsidRDefault="00CE6093">
      <w:pPr>
        <w:spacing w:after="180" w:line="276" w:lineRule="auto"/>
      </w:pPr>
      <w:r>
        <w:t>Dear Chair Michlewitz and Members of the Committee:</w:t>
      </w:r>
    </w:p>
    <w:p w14:paraId="55C92342" w14:textId="77777777" w:rsidR="00965A45" w:rsidRDefault="00965A45">
      <w:pPr>
        <w:spacing w:after="120"/>
      </w:pPr>
    </w:p>
    <w:p w14:paraId="205A8F58" w14:textId="77777777" w:rsidR="00965A45" w:rsidRDefault="00CE6093">
      <w:pPr>
        <w:spacing w:after="180" w:line="276" w:lineRule="auto"/>
      </w:pPr>
      <w:r>
        <w:t>We, the undersigned scholars, clinicians, and researchers working at the intersection of neuroscience, neuroethics, law, and human rights, write in strong support of House Bill 4746, the Massachusetts Consumer Data Privacy Act. We are grateful to Representative Farley-Bouvier and her cosponsors for absorbing the provisions of the Neural Data Privacy Protection Act (H.103) into this comprehensive framework, which represents a meaningful step toward protecting Massachusetts consumers from the largely unregulated collection and use of neural data.</w:t>
      </w:r>
    </w:p>
    <w:p w14:paraId="4D39D9D1" w14:textId="77777777" w:rsidR="00965A45" w:rsidRDefault="00CE6093">
      <w:pPr>
        <w:spacing w:after="180" w:line="276" w:lineRule="auto"/>
      </w:pPr>
      <w:r>
        <w:lastRenderedPageBreak/>
        <w:t>The Commonwealth now has an opportunity to become the first state in the nation to enact a comprehensive consumer data privacy law that meaningfully protects neural data. We urge the Committee to report H.4746 favorably and preserve its strongest provisions — particularly those governing the collection, processing, and transfer of information generated by the measurement of the human nervous system.</w:t>
      </w:r>
    </w:p>
    <w:p w14:paraId="3F65FF44" w14:textId="77777777" w:rsidR="00965A45" w:rsidRDefault="00965A45">
      <w:pPr>
        <w:spacing w:after="120"/>
      </w:pPr>
    </w:p>
    <w:p w14:paraId="46FEB376" w14:textId="77777777" w:rsidR="00965A45" w:rsidRDefault="00CE6093">
      <w:pPr>
        <w:spacing w:before="240" w:after="120"/>
      </w:pPr>
      <w:r>
        <w:rPr>
          <w:b/>
          <w:bCs/>
          <w:sz w:val="24"/>
          <w:szCs w:val="24"/>
        </w:rPr>
        <w:t>Why Neural Data Warrants Heightened Protection</w:t>
      </w:r>
    </w:p>
    <w:p w14:paraId="343794F4" w14:textId="77777777" w:rsidR="00965A45" w:rsidRDefault="00CE6093">
      <w:pPr>
        <w:spacing w:after="180" w:line="276" w:lineRule="auto"/>
      </w:pPr>
      <w:r>
        <w:t>Neural data — information generated by measuring the activity of an individual's central or peripheral nervous system — is categorically different from most other personal data. It can reveal cognitive states, emotional responses, health conditions, attentional patterns, and in some applications, responses to specific stimuli that an individual has not consciously disclosed and may not even be aware of. Unlike a name, an address, or a purchase history, neural data is generated involuntarily and continuously whenever a measurement device is in contact with the body. Once collected and linked, it is functionally impossible to revoke.</w:t>
      </w:r>
    </w:p>
    <w:p w14:paraId="535A1B5F" w14:textId="77777777" w:rsidR="00965A45" w:rsidRDefault="00CE6093">
      <w:pPr>
        <w:spacing w:after="180" w:line="276" w:lineRule="auto"/>
      </w:pPr>
      <w:r>
        <w:t>The commercial neurotechnology market has moved decisively out of the laboratory. Consumer-grade electroencephalography headsets, brain-computer interfaces, and wearables with neural sensing capabilities are now sold directly to consumers without the oversight that would apply to medical devices. A 2024 investigation by the Neurorights Foundation found that 29 of 30 surveyed neurotechnology companies with consumer products provided no meaningful limitations on access to users' brain data, and nearly all reserved the right to share that data with third parties. The federal Health Insurance Portability and Accountability Act does not apply to these products because they are not prescribed by a clinician. Existing state privacy frameworks, including the California Consumer Privacy Act as amended in 2024, provide partial protections but exempt data inferred from non-neural sources — a substantial loophole given that behavioral, physiological, and biometric signals can increasingly be used to infer cognitive and emotional states.</w:t>
      </w:r>
    </w:p>
    <w:p w14:paraId="42D8F755" w14:textId="77777777" w:rsidR="00965A45" w:rsidRDefault="00CE6093">
      <w:pPr>
        <w:spacing w:after="180" w:line="276" w:lineRule="auto"/>
      </w:pPr>
      <w:r>
        <w:t>H.4746 addresses these gaps meaningfully. By classifying neural data as sensitive personal information subject to affirmative consent, data minimization, and purpose-limitation requirements, the bill establishes the kind of default-protective framework that the scientific and ethical stakes demand. The provisions restricting the processing of neural data for targeted advertising, and restricting transfers to third parties absent narrow exceptions, reflect emerging international consensus, including the UNESCO Recommendation on the Ethics of Neurotechnology adopted in November 2025.</w:t>
      </w:r>
    </w:p>
    <w:p w14:paraId="18956055" w14:textId="77777777" w:rsidR="00965A45" w:rsidRDefault="00965A45">
      <w:pPr>
        <w:spacing w:after="120"/>
      </w:pPr>
    </w:p>
    <w:p w14:paraId="359D584C" w14:textId="77777777" w:rsidR="00965A45" w:rsidRDefault="00CE6093">
      <w:pPr>
        <w:spacing w:before="240" w:after="120"/>
      </w:pPr>
      <w:r>
        <w:rPr>
          <w:b/>
          <w:bCs/>
          <w:sz w:val="24"/>
          <w:szCs w:val="24"/>
        </w:rPr>
        <w:t>Provisions We Urge the Committee to Preserve</w:t>
      </w:r>
    </w:p>
    <w:p w14:paraId="70513705" w14:textId="77777777" w:rsidR="00965A45" w:rsidRDefault="00CE6093">
      <w:pPr>
        <w:spacing w:after="180" w:line="276" w:lineRule="auto"/>
      </w:pPr>
      <w:r>
        <w:t>As H.4746 moves through Ways and Means, we respectfully urge the Committee to preserve the following provisions, which we view as essential to the bill's integrity from a neuroethics and scientific standpoint:</w:t>
      </w:r>
    </w:p>
    <w:p w14:paraId="76B8ABBB" w14:textId="77777777" w:rsidR="00965A45" w:rsidRDefault="00CE6093">
      <w:pPr>
        <w:pStyle w:val="ListParagraph"/>
        <w:numPr>
          <w:ilvl w:val="0"/>
          <w:numId w:val="2"/>
        </w:numPr>
        <w:spacing w:after="120" w:line="276" w:lineRule="auto"/>
      </w:pPr>
      <w:r>
        <w:lastRenderedPageBreak/>
        <w:t>The statutory definition of neural data as information generated by measuring the activity of the central or peripheral nervous system. This definition is scientifically sound and aligns with emerging model language in Colorado, Montana, and comparable proposals.</w:t>
      </w:r>
    </w:p>
    <w:p w14:paraId="25A11AF3" w14:textId="77777777" w:rsidR="00965A45" w:rsidRDefault="00CE6093">
      <w:pPr>
        <w:pStyle w:val="ListParagraph"/>
        <w:numPr>
          <w:ilvl w:val="0"/>
          <w:numId w:val="2"/>
        </w:numPr>
        <w:spacing w:after="120" w:line="276" w:lineRule="auto"/>
      </w:pPr>
      <w:r>
        <w:t>The treatment of neural data as sensitive personal information, with affirmative opt-in consent required for collection and processing.</w:t>
      </w:r>
    </w:p>
    <w:p w14:paraId="3093930D" w14:textId="77777777" w:rsidR="00965A45" w:rsidRDefault="00CE6093">
      <w:pPr>
        <w:pStyle w:val="ListParagraph"/>
        <w:numPr>
          <w:ilvl w:val="0"/>
          <w:numId w:val="2"/>
        </w:numPr>
        <w:spacing w:after="120" w:line="276" w:lineRule="auto"/>
      </w:pPr>
      <w:r>
        <w:t>The data minimization standard requiring that collection be reasonably necessary to provide or maintain the product or service the consumer has actually requested — and the additional House standard that non-sensitive data processing be consistent with the reasonable expectations of the consumer.</w:t>
      </w:r>
    </w:p>
    <w:p w14:paraId="287D2B19" w14:textId="77777777" w:rsidR="00965A45" w:rsidRDefault="00CE6093">
      <w:pPr>
        <w:pStyle w:val="ListParagraph"/>
        <w:numPr>
          <w:ilvl w:val="0"/>
          <w:numId w:val="2"/>
        </w:numPr>
        <w:spacing w:after="120" w:line="276" w:lineRule="auto"/>
      </w:pPr>
      <w:r>
        <w:t>The prohibition on processing neural data for targeted advertising, and the restrictions on third-party transfers absent explicit consent or narrowly defined exceptions.</w:t>
      </w:r>
    </w:p>
    <w:p w14:paraId="64EB1B99" w14:textId="77777777" w:rsidR="00965A45" w:rsidRDefault="00CE6093">
      <w:pPr>
        <w:pStyle w:val="ListParagraph"/>
        <w:numPr>
          <w:ilvl w:val="0"/>
          <w:numId w:val="2"/>
        </w:numPr>
        <w:spacing w:after="120" w:line="276" w:lineRule="auto"/>
      </w:pPr>
      <w:r>
        <w:t>The inclusion of a private right of action against large data holders — with the important caveat that, as currently drafted, it will not function as intended and must be strengthened. We strongly support the principle that consumers must have a direct enforcement mechanism. However, by tying enforcement to Massachusetts General Laws Chapter 93A, the bill imports an injury requirement that is unworkable for data privacy violations. Plaintiffs would need to demonstrate concrete injury in order to sue, but data privacy harms are often unknown to the affected individual, occur over long time horizons, and are increasingly difficult to trace to a specific violation. This problem is acutely amplified for neural data: the harms of nonconsensual collection or misuse of brain activity may be deeply consequential yet nearly impossible to prove as a traceable, quantifiable injury under a 93A standard. We respectfully urge the Committee to strengthen the private right of action by adding language to the effect that “a violation of this act constitutes an injury,” or, alternatively, by establishing a standalone private right of action that is not tied to the consumer protection statute’s injury framework.</w:t>
      </w:r>
    </w:p>
    <w:p w14:paraId="2A8E9B4B" w14:textId="77777777" w:rsidR="00965A45" w:rsidRDefault="00965A45">
      <w:pPr>
        <w:spacing w:after="120"/>
      </w:pPr>
    </w:p>
    <w:p w14:paraId="3BE85680" w14:textId="77777777" w:rsidR="00965A45" w:rsidRDefault="00CE6093">
      <w:pPr>
        <w:spacing w:before="240" w:after="120"/>
      </w:pPr>
      <w:r>
        <w:rPr>
          <w:b/>
          <w:bCs/>
          <w:sz w:val="24"/>
          <w:szCs w:val="24"/>
        </w:rPr>
        <w:t>Recommendations for Strengthening</w:t>
      </w:r>
    </w:p>
    <w:p w14:paraId="5B4B4690" w14:textId="77777777" w:rsidR="00965A45" w:rsidRDefault="00CE6093">
      <w:pPr>
        <w:spacing w:after="180" w:line="276" w:lineRule="auto"/>
      </w:pPr>
      <w:r>
        <w:t>We also respectfully offer the following observations for the Committee's consideration:</w:t>
      </w:r>
    </w:p>
    <w:p w14:paraId="71DEE8E3" w14:textId="77777777" w:rsidR="00965A45" w:rsidRDefault="00CE6093">
      <w:pPr>
        <w:pStyle w:val="ListParagraph"/>
        <w:numPr>
          <w:ilvl w:val="0"/>
          <w:numId w:val="2"/>
        </w:numPr>
        <w:spacing w:after="120" w:line="276" w:lineRule="auto"/>
      </w:pPr>
      <w:r>
        <w:t>The current definition of neural data, which excludes information inferred from non-neural sources, mirrors the California framework and will foreseeably be exploited by companies that derive cognitive and emotional inferences from keystroke dynamics, voice tremor, heart rate variability, eye tracking, and other non-neural signals. The Committee may wish to consider whether inferred mental-state data drawn from any source warrants coverage, consistent with the Minnesota proposal currently under consideration in that state.</w:t>
      </w:r>
    </w:p>
    <w:p w14:paraId="0F993FDC" w14:textId="77777777" w:rsidR="00965A45" w:rsidRDefault="00CE6093">
      <w:pPr>
        <w:pStyle w:val="ListParagraph"/>
        <w:numPr>
          <w:ilvl w:val="0"/>
          <w:numId w:val="2"/>
        </w:numPr>
        <w:spacing w:after="120" w:line="276" w:lineRule="auto"/>
      </w:pPr>
      <w:r>
        <w:t>The legislation should make clear that employers and educational institutions operating in Massachusetts are within scope, and that neural-sensing devices cannot be imposed as a condition of employment, enrollment, or access to essential services.</w:t>
      </w:r>
    </w:p>
    <w:p w14:paraId="053383E9" w14:textId="77777777" w:rsidR="00965A45" w:rsidRDefault="00CE6093">
      <w:pPr>
        <w:pStyle w:val="ListParagraph"/>
        <w:numPr>
          <w:ilvl w:val="0"/>
          <w:numId w:val="2"/>
        </w:numPr>
        <w:spacing w:after="120" w:line="276" w:lineRule="auto"/>
      </w:pPr>
      <w:r>
        <w:lastRenderedPageBreak/>
        <w:t>A narrow exemption or carve-in for legitimate clinical and academic research conducted under established human-subjects protections would prevent chilling peer-reviewed neuroscience while preserving the bill's consumer protections.</w:t>
      </w:r>
    </w:p>
    <w:p w14:paraId="245842D6" w14:textId="77777777" w:rsidR="00965A45" w:rsidRDefault="00965A45">
      <w:pPr>
        <w:spacing w:after="120"/>
      </w:pPr>
    </w:p>
    <w:p w14:paraId="6908C044" w14:textId="77777777" w:rsidR="00965A45" w:rsidRDefault="00CE6093">
      <w:pPr>
        <w:spacing w:before="240" w:after="120"/>
      </w:pPr>
      <w:r>
        <w:rPr>
          <w:b/>
          <w:bCs/>
          <w:sz w:val="24"/>
          <w:szCs w:val="24"/>
        </w:rPr>
        <w:t>The Stakes</w:t>
      </w:r>
    </w:p>
    <w:p w14:paraId="0FC4D735" w14:textId="77777777" w:rsidR="00965A45" w:rsidRDefault="00CE6093">
      <w:pPr>
        <w:spacing w:after="180" w:line="276" w:lineRule="auto"/>
      </w:pPr>
      <w:r>
        <w:t>In 2021, Chile became the first country to enshrine neurorights in its constitution. The UNESCO Recommendation on the Ethics of Neurotechnology, adopted by member states in November 2025, establishes an international expectation of protection for mental integrity and brain data. Colorado and California have acted. Montana, Connecticut, Illinois, Minnesota, and Vermont have proposals pending. The question before this Committee is not whether neural data will be regulated, but whether Massachusetts will lead or follow.</w:t>
      </w:r>
    </w:p>
    <w:p w14:paraId="0D80D251" w14:textId="77777777" w:rsidR="00965A45" w:rsidRDefault="00CE6093">
      <w:pPr>
        <w:spacing w:after="180" w:line="276" w:lineRule="auto"/>
      </w:pPr>
      <w:r>
        <w:t>The mind is the last private space. The frameworks this Commonwealth establishes in the coming months will influence how the rest of the country — and, given Massachusetts' outsized role in biotechnology and research, much of the rest of the world — approaches the governance of cognitive liberty. We believe H.4746 is the most serious legislative effort at the state level to date, and we offer our support, our expertise, and our availability to the Committee as it completes its work.</w:t>
      </w:r>
    </w:p>
    <w:p w14:paraId="22111A89" w14:textId="77777777" w:rsidR="00965A45" w:rsidRDefault="00CE6093">
      <w:pPr>
        <w:spacing w:after="180" w:line="276" w:lineRule="auto"/>
      </w:pPr>
      <w:r>
        <w:t>We would welcome the opportunity to provide testimony, brief Committee staff, or contribute to any technical review the Committee finds useful. Please direct any correspondence to the coordinating contact below.</w:t>
      </w:r>
    </w:p>
    <w:p w14:paraId="0533BA96" w14:textId="77777777" w:rsidR="00965A45" w:rsidRDefault="00965A45">
      <w:pPr>
        <w:spacing w:after="120"/>
      </w:pPr>
    </w:p>
    <w:p w14:paraId="3C45B6E1" w14:textId="75961986" w:rsidR="00965A45" w:rsidRDefault="00CE6093" w:rsidP="00041EAC">
      <w:pPr>
        <w:spacing w:after="180" w:line="276" w:lineRule="auto"/>
      </w:pPr>
      <w:r>
        <w:t>Respectfully,</w:t>
      </w:r>
    </w:p>
    <w:p w14:paraId="655EFA8B" w14:textId="77777777" w:rsidR="00601C8E" w:rsidRDefault="00601C8E" w:rsidP="00041EAC">
      <w:pPr>
        <w:spacing w:after="180" w:line="276" w:lineRule="auto"/>
      </w:pPr>
    </w:p>
    <w:p w14:paraId="38BDF2E3" w14:textId="45534C4C" w:rsidR="00974FAC" w:rsidRDefault="00974FAC" w:rsidP="00974FAC">
      <w:pPr>
        <w:spacing w:after="120"/>
      </w:pPr>
      <w:r>
        <w:t>Jasmine Kwasa, PhD</w:t>
      </w:r>
    </w:p>
    <w:p w14:paraId="47F9DD55" w14:textId="77777777" w:rsidR="00974FAC" w:rsidRDefault="00974FAC" w:rsidP="00974FAC">
      <w:pPr>
        <w:spacing w:after="120"/>
      </w:pPr>
      <w:r>
        <w:t>Faculty, Neuroscience Institute, Carnegie Mellon University</w:t>
      </w:r>
    </w:p>
    <w:p w14:paraId="57ACF166" w14:textId="77777777" w:rsidR="00974FAC" w:rsidRDefault="00974FAC" w:rsidP="00974FAC">
      <w:pPr>
        <w:spacing w:after="120"/>
      </w:pPr>
      <w:r>
        <w:t>Principal, Insight Biorhythms, LLC</w:t>
      </w:r>
    </w:p>
    <w:p w14:paraId="2A574A0C" w14:textId="77777777" w:rsidR="00974FAC" w:rsidRDefault="00974FAC" w:rsidP="00974FAC">
      <w:pPr>
        <w:spacing w:after="120"/>
      </w:pPr>
      <w:proofErr w:type="gramStart"/>
      <w:r>
        <w:t>PhD</w:t>
      </w:r>
      <w:proofErr w:type="gramEnd"/>
      <w:r>
        <w:t xml:space="preserve"> in Electrical and Computer Engineering, Carnegie Mellon University</w:t>
      </w:r>
    </w:p>
    <w:p w14:paraId="71C086FF" w14:textId="77777777" w:rsidR="00974FAC" w:rsidRDefault="00974FAC" w:rsidP="00974FAC">
      <w:pPr>
        <w:spacing w:after="120"/>
      </w:pPr>
      <w:r>
        <w:t>MS in Biomedical Engineering, Boston University</w:t>
      </w:r>
    </w:p>
    <w:p w14:paraId="598599EC" w14:textId="0207E046" w:rsidR="00965A45" w:rsidRDefault="00974FAC" w:rsidP="00974FAC">
      <w:pPr>
        <w:spacing w:after="120"/>
      </w:pPr>
      <w:r>
        <w:t>BS in Biomedical Engineering, Washington University in St. Louis</w:t>
      </w:r>
    </w:p>
    <w:p w14:paraId="74CABEE3" w14:textId="77777777" w:rsidR="00965A45" w:rsidRDefault="00965A45">
      <w:pPr>
        <w:spacing w:after="120"/>
        <w:rPr>
          <w:b/>
          <w:bCs/>
        </w:rPr>
      </w:pPr>
    </w:p>
    <w:p w14:paraId="4AB82595" w14:textId="77777777" w:rsidR="00C21288" w:rsidRDefault="00C21288" w:rsidP="00C21288">
      <w:pPr>
        <w:spacing w:after="120"/>
      </w:pPr>
      <w:r>
        <w:t>Juliette M. Engel, MD</w:t>
      </w:r>
    </w:p>
    <w:p w14:paraId="1586A08B" w14:textId="77777777" w:rsidR="00C21288" w:rsidRDefault="00C21288" w:rsidP="00C21288">
      <w:pPr>
        <w:spacing w:after="120"/>
      </w:pPr>
      <w:r>
        <w:t xml:space="preserve">CEO of </w:t>
      </w:r>
      <w:proofErr w:type="spellStart"/>
      <w:r>
        <w:t>MiraMed</w:t>
      </w:r>
      <w:proofErr w:type="spellEnd"/>
      <w:r>
        <w:t xml:space="preserve"> Institute (retired)</w:t>
      </w:r>
    </w:p>
    <w:p w14:paraId="000DA2B3" w14:textId="68C9BF0C" w:rsidR="00F50D06" w:rsidRDefault="00C21288" w:rsidP="00C21288">
      <w:pPr>
        <w:spacing w:after="120"/>
      </w:pPr>
      <w:r>
        <w:t>Recipient of Humanitarian Award from University of Washington School of Medicine</w:t>
      </w:r>
    </w:p>
    <w:p w14:paraId="1A36A936" w14:textId="77777777" w:rsidR="00965A45" w:rsidRDefault="00965A45">
      <w:pPr>
        <w:spacing w:after="120"/>
      </w:pPr>
    </w:p>
    <w:p w14:paraId="593A9ED4" w14:textId="77777777" w:rsidR="00041EAC" w:rsidRDefault="00041EAC" w:rsidP="00041EAC">
      <w:pPr>
        <w:spacing w:after="120"/>
      </w:pPr>
      <w:r>
        <w:t>Elizabeth A Hansen, PT, DPT, HEC-C</w:t>
      </w:r>
    </w:p>
    <w:p w14:paraId="51243B7F" w14:textId="77777777" w:rsidR="00041EAC" w:rsidRDefault="00041EAC" w:rsidP="00041EAC">
      <w:pPr>
        <w:spacing w:after="120"/>
      </w:pPr>
      <w:r>
        <w:lastRenderedPageBreak/>
        <w:t>Therapy Manager, Brain Injury Program</w:t>
      </w:r>
    </w:p>
    <w:p w14:paraId="13174479" w14:textId="760B656E" w:rsidR="00486784" w:rsidRDefault="00041EAC" w:rsidP="00041EAC">
      <w:pPr>
        <w:spacing w:after="120"/>
      </w:pPr>
      <w:r>
        <w:t>Chair Ethics Advisory Committee</w:t>
      </w:r>
    </w:p>
    <w:p w14:paraId="5783E54D" w14:textId="77777777" w:rsidR="00A079F1" w:rsidRDefault="0055153F" w:rsidP="00041EAC">
      <w:pPr>
        <w:spacing w:after="120"/>
      </w:pPr>
      <w:r w:rsidRPr="0055153F">
        <w:t>Mass General Brigham</w:t>
      </w:r>
      <w:r>
        <w:t xml:space="preserve"> </w:t>
      </w:r>
    </w:p>
    <w:p w14:paraId="009340BA" w14:textId="03D32D77" w:rsidR="0055153F" w:rsidRDefault="0055153F" w:rsidP="00041EAC">
      <w:pPr>
        <w:spacing w:after="120"/>
      </w:pPr>
      <w:r w:rsidRPr="0055153F">
        <w:t>Spaulding Rehabilitation Hospital</w:t>
      </w:r>
    </w:p>
    <w:p w14:paraId="705E651F" w14:textId="77777777" w:rsidR="00965A45" w:rsidRDefault="00965A45">
      <w:pPr>
        <w:spacing w:after="120"/>
      </w:pPr>
    </w:p>
    <w:p w14:paraId="013BDBB5" w14:textId="77777777" w:rsidR="00601C8E" w:rsidRDefault="00601C8E" w:rsidP="00601C8E">
      <w:pPr>
        <w:spacing w:after="120"/>
      </w:pPr>
      <w:r>
        <w:t>Janot Mendler de Suárez</w:t>
      </w:r>
    </w:p>
    <w:p w14:paraId="70684E12" w14:textId="77777777" w:rsidR="00601C8E" w:rsidRDefault="00601C8E" w:rsidP="00601C8E">
      <w:pPr>
        <w:spacing w:after="120"/>
      </w:pPr>
      <w:r>
        <w:t>MA, Fletcher School of Law &amp; Diplomacy</w:t>
      </w:r>
    </w:p>
    <w:p w14:paraId="6C8805E5" w14:textId="77777777" w:rsidR="00601C8E" w:rsidRDefault="00601C8E" w:rsidP="00601C8E">
      <w:pPr>
        <w:spacing w:after="120"/>
      </w:pPr>
      <w:r>
        <w:t>BA, Mt. Holyoke College</w:t>
      </w:r>
    </w:p>
    <w:p w14:paraId="36C36193" w14:textId="39570339" w:rsidR="00601C8E" w:rsidRDefault="00601C8E" w:rsidP="00601C8E">
      <w:pPr>
        <w:spacing w:after="120"/>
      </w:pPr>
      <w:r>
        <w:t>Visiting Research Fellow, Boston University Pardee Ctr for the Study of the Longer-Range Future</w:t>
      </w:r>
    </w:p>
    <w:p w14:paraId="705A4334" w14:textId="77777777" w:rsidR="00965A45" w:rsidRDefault="00965A45">
      <w:pPr>
        <w:spacing w:after="120"/>
      </w:pPr>
    </w:p>
    <w:p w14:paraId="51D1264A" w14:textId="77777777" w:rsidR="00965A45" w:rsidRDefault="00965A45">
      <w:pPr>
        <w:pBdr>
          <w:top w:val="single" w:sz="6" w:space="6" w:color="888888"/>
        </w:pBdr>
        <w:spacing w:before="240" w:after="120"/>
      </w:pPr>
    </w:p>
    <w:p w14:paraId="5FB6BD39" w14:textId="63B8115D" w:rsidR="00965A45" w:rsidRDefault="00CE6093">
      <w:pPr>
        <w:spacing w:after="180" w:line="276" w:lineRule="auto"/>
        <w:rPr>
          <w:b/>
          <w:bCs/>
        </w:rPr>
      </w:pPr>
      <w:r>
        <w:rPr>
          <w:b/>
          <w:bCs/>
        </w:rPr>
        <w:t>Coordinating Contact:</w:t>
      </w:r>
    </w:p>
    <w:p w14:paraId="4F128F6A" w14:textId="04424879" w:rsidR="009E1245" w:rsidRDefault="009E1245">
      <w:pPr>
        <w:spacing w:after="180" w:line="276" w:lineRule="auto"/>
      </w:pPr>
      <w:r>
        <w:t>Neuroethics Now</w:t>
      </w:r>
    </w:p>
    <w:p w14:paraId="05417E1B" w14:textId="1D357C83" w:rsidR="009E1245" w:rsidRDefault="009E1245">
      <w:pPr>
        <w:spacing w:after="180" w:line="276" w:lineRule="auto"/>
      </w:pPr>
      <w:hyperlink r:id="rId6" w:history="1">
        <w:r>
          <w:rPr>
            <w:rStyle w:val="Hyperlink"/>
          </w:rPr>
          <w:t>neuroethicsnow@gmail.com</w:t>
        </w:r>
      </w:hyperlink>
      <w:r>
        <w:t xml:space="preserve"> </w:t>
      </w:r>
    </w:p>
    <w:p w14:paraId="5251AADB" w14:textId="277F05E9" w:rsidR="00965A45" w:rsidRDefault="00CE6093">
      <w:pPr>
        <w:spacing w:after="180" w:line="276" w:lineRule="auto"/>
      </w:pPr>
      <w:r>
        <w:t>Web: www.neuroethicsnow.org</w:t>
      </w:r>
    </w:p>
    <w:p w14:paraId="2214644C" w14:textId="77777777" w:rsidR="00965A45" w:rsidRDefault="00965A45">
      <w:pPr>
        <w:spacing w:after="120"/>
      </w:pPr>
    </w:p>
    <w:p w14:paraId="03587368" w14:textId="41BC3012" w:rsidR="00965A45" w:rsidRDefault="00CE6093">
      <w:pPr>
        <w:spacing w:after="180" w:line="276" w:lineRule="auto"/>
      </w:pPr>
      <w:r>
        <w:rPr>
          <w:sz w:val="20"/>
          <w:szCs w:val="20"/>
        </w:rPr>
        <w:t>NeuroethicsNow.org is a volunteer-funded, non-partisan public education initiative focused on cognitive liberty, mental privacy, and the ethical governance of neurotechnology.</w:t>
      </w:r>
    </w:p>
    <w:sectPr w:rsidR="00965A4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31390"/>
    <w:multiLevelType w:val="hybridMultilevel"/>
    <w:tmpl w:val="58E6EF8E"/>
    <w:lvl w:ilvl="0" w:tplc="DA9C1AE6">
      <w:start w:val="1"/>
      <w:numFmt w:val="bullet"/>
      <w:lvlText w:val="•"/>
      <w:lvlJc w:val="left"/>
      <w:pPr>
        <w:ind w:left="720" w:hanging="360"/>
      </w:pPr>
    </w:lvl>
    <w:lvl w:ilvl="1" w:tplc="3FCE2FB8">
      <w:numFmt w:val="decimal"/>
      <w:lvlText w:val=""/>
      <w:lvlJc w:val="left"/>
    </w:lvl>
    <w:lvl w:ilvl="2" w:tplc="2002773A">
      <w:numFmt w:val="decimal"/>
      <w:lvlText w:val=""/>
      <w:lvlJc w:val="left"/>
    </w:lvl>
    <w:lvl w:ilvl="3" w:tplc="4FAAB26A">
      <w:numFmt w:val="decimal"/>
      <w:lvlText w:val=""/>
      <w:lvlJc w:val="left"/>
    </w:lvl>
    <w:lvl w:ilvl="4" w:tplc="040219D6">
      <w:numFmt w:val="decimal"/>
      <w:lvlText w:val=""/>
      <w:lvlJc w:val="left"/>
    </w:lvl>
    <w:lvl w:ilvl="5" w:tplc="97CCEE20">
      <w:numFmt w:val="decimal"/>
      <w:lvlText w:val=""/>
      <w:lvlJc w:val="left"/>
    </w:lvl>
    <w:lvl w:ilvl="6" w:tplc="F6D25EE0">
      <w:numFmt w:val="decimal"/>
      <w:lvlText w:val=""/>
      <w:lvlJc w:val="left"/>
    </w:lvl>
    <w:lvl w:ilvl="7" w:tplc="1E9CC598">
      <w:numFmt w:val="decimal"/>
      <w:lvlText w:val=""/>
      <w:lvlJc w:val="left"/>
    </w:lvl>
    <w:lvl w:ilvl="8" w:tplc="E99EE326">
      <w:numFmt w:val="decimal"/>
      <w:lvlText w:val=""/>
      <w:lvlJc w:val="left"/>
    </w:lvl>
  </w:abstractNum>
  <w:abstractNum w:abstractNumId="1" w15:restartNumberingAfterBreak="0">
    <w:nsid w:val="76A971EF"/>
    <w:multiLevelType w:val="hybridMultilevel"/>
    <w:tmpl w:val="016CCDC6"/>
    <w:lvl w:ilvl="0" w:tplc="DE2A8B88">
      <w:start w:val="1"/>
      <w:numFmt w:val="bullet"/>
      <w:lvlText w:val="●"/>
      <w:lvlJc w:val="left"/>
      <w:pPr>
        <w:ind w:left="720" w:hanging="360"/>
      </w:pPr>
    </w:lvl>
    <w:lvl w:ilvl="1" w:tplc="4C0A90D0">
      <w:start w:val="1"/>
      <w:numFmt w:val="bullet"/>
      <w:lvlText w:val="○"/>
      <w:lvlJc w:val="left"/>
      <w:pPr>
        <w:ind w:left="1440" w:hanging="360"/>
      </w:pPr>
    </w:lvl>
    <w:lvl w:ilvl="2" w:tplc="E55C9B0E">
      <w:start w:val="1"/>
      <w:numFmt w:val="bullet"/>
      <w:lvlText w:val="■"/>
      <w:lvlJc w:val="left"/>
      <w:pPr>
        <w:ind w:left="2160" w:hanging="360"/>
      </w:pPr>
    </w:lvl>
    <w:lvl w:ilvl="3" w:tplc="EF24E0D4">
      <w:start w:val="1"/>
      <w:numFmt w:val="bullet"/>
      <w:lvlText w:val="●"/>
      <w:lvlJc w:val="left"/>
      <w:pPr>
        <w:ind w:left="2880" w:hanging="360"/>
      </w:pPr>
    </w:lvl>
    <w:lvl w:ilvl="4" w:tplc="E2EAE3B2">
      <w:start w:val="1"/>
      <w:numFmt w:val="bullet"/>
      <w:lvlText w:val="○"/>
      <w:lvlJc w:val="left"/>
      <w:pPr>
        <w:ind w:left="3600" w:hanging="360"/>
      </w:pPr>
    </w:lvl>
    <w:lvl w:ilvl="5" w:tplc="C712B1A4">
      <w:start w:val="1"/>
      <w:numFmt w:val="bullet"/>
      <w:lvlText w:val="■"/>
      <w:lvlJc w:val="left"/>
      <w:pPr>
        <w:ind w:left="4320" w:hanging="360"/>
      </w:pPr>
    </w:lvl>
    <w:lvl w:ilvl="6" w:tplc="80688F8A">
      <w:start w:val="1"/>
      <w:numFmt w:val="bullet"/>
      <w:lvlText w:val="●"/>
      <w:lvlJc w:val="left"/>
      <w:pPr>
        <w:ind w:left="5040" w:hanging="360"/>
      </w:pPr>
    </w:lvl>
    <w:lvl w:ilvl="7" w:tplc="3C98ECDA">
      <w:start w:val="1"/>
      <w:numFmt w:val="bullet"/>
      <w:lvlText w:val="●"/>
      <w:lvlJc w:val="left"/>
      <w:pPr>
        <w:ind w:left="5760" w:hanging="360"/>
      </w:pPr>
    </w:lvl>
    <w:lvl w:ilvl="8" w:tplc="19FA0D36">
      <w:start w:val="1"/>
      <w:numFmt w:val="bullet"/>
      <w:lvlText w:val="●"/>
      <w:lvlJc w:val="left"/>
      <w:pPr>
        <w:ind w:left="6480" w:hanging="360"/>
      </w:pPr>
    </w:lvl>
  </w:abstractNum>
  <w:num w:numId="1" w16cid:durableId="248463517">
    <w:abstractNumId w:val="1"/>
    <w:lvlOverride w:ilvl="0">
      <w:startOverride w:val="1"/>
    </w:lvlOverride>
  </w:num>
  <w:num w:numId="2" w16cid:durableId="2120950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45"/>
    <w:rsid w:val="00041EAC"/>
    <w:rsid w:val="00064BF1"/>
    <w:rsid w:val="00486784"/>
    <w:rsid w:val="0055153F"/>
    <w:rsid w:val="00573249"/>
    <w:rsid w:val="00601C8E"/>
    <w:rsid w:val="006215F6"/>
    <w:rsid w:val="00965A45"/>
    <w:rsid w:val="00974FAC"/>
    <w:rsid w:val="009E1245"/>
    <w:rsid w:val="009F04EE"/>
    <w:rsid w:val="00A079F1"/>
    <w:rsid w:val="00C21288"/>
    <w:rsid w:val="00CA7C23"/>
    <w:rsid w:val="00CE6093"/>
    <w:rsid w:val="00D51818"/>
    <w:rsid w:val="00D55560"/>
    <w:rsid w:val="00ED5049"/>
    <w:rsid w:val="00F50D06"/>
    <w:rsid w:val="00FC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F79E"/>
  <w15:docId w15:val="{192CCFB6-AD9D-4F2A-8C19-BC9D5353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E1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uroethicsnow@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Ireland, Allison A</cp:lastModifiedBy>
  <cp:revision>2</cp:revision>
  <dcterms:created xsi:type="dcterms:W3CDTF">2026-05-19T01:32:00Z</dcterms:created>
  <dcterms:modified xsi:type="dcterms:W3CDTF">2026-05-19T01:32:00Z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242ff18c-3f7b-43e3-8169-1ea9179e77ef</vt:lpwstr>
  </property>
</Properties>
</file>